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rFonts w:hint="eastAsia"/>
          <w:b/>
          <w:sz w:val="30"/>
          <w:szCs w:val="22"/>
          <w:lang w:val="en-US" w:eastAsia="zh-CN"/>
        </w:rPr>
      </w:pPr>
      <w:r>
        <w:rPr>
          <w:rFonts w:hint="eastAsia"/>
          <w:b/>
          <w:sz w:val="30"/>
          <w:szCs w:val="22"/>
          <w:lang w:val="en-US" w:eastAsia="zh-CN"/>
        </w:rPr>
        <w:t>首义校区多媒体教室可视化中控管理系统升级服务项目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b/>
                <w:sz w:val="30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首义校区多媒体教室可视化中控管理系统升级服务项目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qpp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2018-10-08T03:37:00Z</dcterms:created>
  <dc:creator>微软用户</dc:creator>
  <cp:lastModifiedBy>Administrator</cp:lastModifiedBy>
  <cp:lastPrinted>2014-10-28T06:25:00Z</cp:lastPrinted>
  <dcterms:modified xsi:type="dcterms:W3CDTF">2019-11-04T08:21:02Z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